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FC4" w:rsidRDefault="008B1FC4" w:rsidP="008B1FC4">
      <w:pPr>
        <w:spacing w:line="276" w:lineRule="auto"/>
        <w:rPr>
          <w:b/>
        </w:rPr>
      </w:pPr>
      <w:r>
        <w:rPr>
          <w:b/>
        </w:rPr>
        <w:t>Mabo: a fundamental truth and a basis for justice</w:t>
      </w:r>
    </w:p>
    <w:p w:rsidR="008B1FC4" w:rsidRDefault="008B1FC4" w:rsidP="000D4B73">
      <w:pPr>
        <w:spacing w:line="276" w:lineRule="auto"/>
        <w:rPr>
          <w:b/>
        </w:rPr>
      </w:pPr>
    </w:p>
    <w:p w:rsidR="000D4B73" w:rsidRDefault="00AE3C93" w:rsidP="000D4B73">
      <w:pPr>
        <w:spacing w:line="276" w:lineRule="auto"/>
        <w:rPr>
          <w:b/>
        </w:rPr>
      </w:pPr>
      <w:r>
        <w:rPr>
          <w:b/>
        </w:rPr>
        <w:t xml:space="preserve">Winner of the </w:t>
      </w:r>
      <w:r w:rsidR="00F96926">
        <w:rPr>
          <w:b/>
        </w:rPr>
        <w:t xml:space="preserve">2012 </w:t>
      </w:r>
      <w:r w:rsidR="008B1FC4">
        <w:rPr>
          <w:b/>
        </w:rPr>
        <w:t>UNSW Law</w:t>
      </w:r>
      <w:r w:rsidR="00F96926">
        <w:rPr>
          <w:b/>
        </w:rPr>
        <w:t xml:space="preserve"> </w:t>
      </w:r>
      <w:r w:rsidR="00FE7628">
        <w:rPr>
          <w:b/>
        </w:rPr>
        <w:t>High</w:t>
      </w:r>
      <w:r w:rsidR="008B1FC4">
        <w:rPr>
          <w:b/>
        </w:rPr>
        <w:t xml:space="preserve"> School Essay Competition </w:t>
      </w:r>
    </w:p>
    <w:p w:rsidR="00AE3C93" w:rsidRDefault="00AE3C93" w:rsidP="000D4B73">
      <w:pPr>
        <w:spacing w:line="276" w:lineRule="auto"/>
        <w:rPr>
          <w:b/>
        </w:rPr>
      </w:pPr>
    </w:p>
    <w:p w:rsidR="00AD0AC8" w:rsidRDefault="00E00625" w:rsidP="000D4B73">
      <w:pPr>
        <w:spacing w:line="276" w:lineRule="auto"/>
        <w:rPr>
          <w:b/>
        </w:rPr>
      </w:pPr>
      <w:r w:rsidRPr="000672F0">
        <w:rPr>
          <w:b/>
        </w:rPr>
        <w:t xml:space="preserve">By </w:t>
      </w:r>
      <w:r w:rsidR="00AD0AC8" w:rsidRPr="000672F0">
        <w:rPr>
          <w:b/>
        </w:rPr>
        <w:t>Daniel Lopez</w:t>
      </w:r>
      <w:r w:rsidR="00FE7628">
        <w:rPr>
          <w:rStyle w:val="EndnoteReference"/>
          <w:b/>
        </w:rPr>
        <w:endnoteReference w:id="1"/>
      </w:r>
      <w:r w:rsidR="000D4B73">
        <w:rPr>
          <w:b/>
        </w:rPr>
        <w:t xml:space="preserve"> </w:t>
      </w:r>
    </w:p>
    <w:p w:rsidR="00653202" w:rsidRPr="000672F0" w:rsidRDefault="00653202" w:rsidP="00261EE2">
      <w:pPr>
        <w:spacing w:before="240" w:line="276" w:lineRule="auto"/>
      </w:pPr>
      <w:r w:rsidRPr="000672F0">
        <w:t>Sixteen years before Kevin Rudd’s historic apology to the stolen generations in 2008, another Prime Minister eloquently and sincerely acknowledged the mistakes made by Australia in its treatment of its Indigenous peoples. Never before had there been such a frank acceptance of these grievances when</w:t>
      </w:r>
      <w:r w:rsidR="00E760FE" w:rsidRPr="000672F0">
        <w:t xml:space="preserve"> the</w:t>
      </w:r>
      <w:r w:rsidR="00023A53" w:rsidRPr="000672F0">
        <w:t xml:space="preserve"> then</w:t>
      </w:r>
      <w:r w:rsidR="00E760FE" w:rsidRPr="000672F0">
        <w:t xml:space="preserve"> </w:t>
      </w:r>
      <w:r w:rsidRPr="000672F0">
        <w:t>Prime Minister</w:t>
      </w:r>
      <w:r w:rsidR="00E760FE" w:rsidRPr="000672F0">
        <w:t xml:space="preserve">, </w:t>
      </w:r>
      <w:r w:rsidRPr="000672F0">
        <w:t>Paul Keating</w:t>
      </w:r>
      <w:r w:rsidR="00E760FE" w:rsidRPr="000672F0">
        <w:t xml:space="preserve">, </w:t>
      </w:r>
      <w:r w:rsidRPr="000672F0">
        <w:t xml:space="preserve">delivered his speech at Redfern Park in 1992. A catalyst for this speech was to praise the High Court’s </w:t>
      </w:r>
      <w:r w:rsidR="008B641A" w:rsidRPr="008B641A">
        <w:rPr>
          <w:i/>
        </w:rPr>
        <w:t>Mabo</w:t>
      </w:r>
      <w:r w:rsidR="000D4B73">
        <w:rPr>
          <w:rStyle w:val="EndnoteReference"/>
          <w:i/>
        </w:rPr>
        <w:endnoteReference w:id="2"/>
      </w:r>
      <w:r w:rsidR="000D4B73" w:rsidRPr="000672F0">
        <w:t xml:space="preserve"> </w:t>
      </w:r>
      <w:r w:rsidRPr="000672F0">
        <w:t xml:space="preserve">decision six months earlier, which in Keating’s memorable words </w:t>
      </w:r>
      <w:r w:rsidR="00E00625" w:rsidRPr="000672F0">
        <w:t>‘</w:t>
      </w:r>
      <w:r w:rsidRPr="000672F0">
        <w:t>establise</w:t>
      </w:r>
      <w:r w:rsidR="007B5BB9">
        <w:t>s</w:t>
      </w:r>
      <w:r w:rsidRPr="000672F0">
        <w:t xml:space="preserve"> a fundamental truth and lays the basis for justice</w:t>
      </w:r>
      <w:r w:rsidR="00E00625" w:rsidRPr="000672F0">
        <w:t>’</w:t>
      </w:r>
      <w:r w:rsidRPr="000672F0">
        <w:t>.</w:t>
      </w:r>
      <w:r w:rsidR="00E00625" w:rsidRPr="000672F0">
        <w:rPr>
          <w:rStyle w:val="EndnoteReference"/>
        </w:rPr>
        <w:endnoteReference w:id="3"/>
      </w:r>
      <w:r w:rsidR="008B641A" w:rsidRPr="008B641A">
        <w:t xml:space="preserve"> Keating identified that the groundbreaking </w:t>
      </w:r>
      <w:r w:rsidR="008B641A" w:rsidRPr="007B5BB9">
        <w:t>Mabo</w:t>
      </w:r>
      <w:r w:rsidR="008B641A" w:rsidRPr="008B641A">
        <w:t xml:space="preserve"> decision recognised the historical truth that European settlement led to the dispossession of Indigenous lands; and a fundamental truth that Indigenous cultures deserve respect and legal protection. Furthermore, Keating emphasised that the High Court’s decision set Australia on a new political and social trajectory: that identified the plight of Indigenous Australia and the need for justice as one of the nation’s central challenges as it moved into the future. </w:t>
      </w:r>
    </w:p>
    <w:p w:rsidR="00C44992" w:rsidRPr="000672F0" w:rsidRDefault="008B641A" w:rsidP="00261EE2">
      <w:pPr>
        <w:spacing w:before="240" w:line="276" w:lineRule="auto"/>
      </w:pPr>
      <w:r w:rsidRPr="008B641A">
        <w:t xml:space="preserve">The High Court’s </w:t>
      </w:r>
      <w:r w:rsidRPr="007B5BB9">
        <w:rPr>
          <w:sz w:val="22"/>
          <w:szCs w:val="22"/>
        </w:rPr>
        <w:t>Mabo</w:t>
      </w:r>
      <w:r w:rsidRPr="008B641A">
        <w:t xml:space="preserve"> decision acknowledged the historical truth that lies at the heart of Australia’s settlement: the use of the doctrine of </w:t>
      </w:r>
      <w:r w:rsidRPr="008B641A">
        <w:rPr>
          <w:i/>
        </w:rPr>
        <w:t xml:space="preserve">terra nullius </w:t>
      </w:r>
      <w:r w:rsidRPr="008B641A">
        <w:t>(‘land belonging to no-one’) to allow</w:t>
      </w:r>
      <w:r w:rsidR="00653202" w:rsidRPr="000672F0">
        <w:t xml:space="preserve"> the British Crown to gain absolute sovereignty</w:t>
      </w:r>
      <w:r w:rsidR="007B5BB9">
        <w:t xml:space="preserve"> </w:t>
      </w:r>
      <w:r w:rsidR="00653202" w:rsidRPr="000672F0">
        <w:t xml:space="preserve">over the land of Indigenous Australians </w:t>
      </w:r>
      <w:r w:rsidR="00B43925" w:rsidRPr="000672F0">
        <w:t>had</w:t>
      </w:r>
      <w:r w:rsidR="00653202" w:rsidRPr="000672F0">
        <w:t xml:space="preserve"> dispossessed them of this land</w:t>
      </w:r>
      <w:r w:rsidR="00346F9D" w:rsidRPr="000672F0">
        <w:t>.</w:t>
      </w:r>
      <w:r w:rsidR="00E00625" w:rsidRPr="000672F0">
        <w:rPr>
          <w:rStyle w:val="EndnoteReference"/>
        </w:rPr>
        <w:endnoteReference w:id="4"/>
      </w:r>
      <w:r w:rsidR="00346F9D" w:rsidRPr="000672F0">
        <w:t xml:space="preserve"> The case involved </w:t>
      </w:r>
      <w:r w:rsidR="00B43925" w:rsidRPr="000672F0">
        <w:t>Torres Strait Islander</w:t>
      </w:r>
      <w:r w:rsidR="00346F9D" w:rsidRPr="000672F0">
        <w:t xml:space="preserve"> Eddie Mabo and others from the Murray Islands in the Torres Strait claiming that the Merriam people held native title over the Islands. The decision, handed down in June 1992, ruled in favour of Mabo and his people. It also overturned the doctrine of </w:t>
      </w:r>
      <w:r w:rsidR="00E00625" w:rsidRPr="000672F0">
        <w:rPr>
          <w:i/>
        </w:rPr>
        <w:t>t</w:t>
      </w:r>
      <w:r w:rsidR="00346F9D" w:rsidRPr="000672F0">
        <w:rPr>
          <w:i/>
        </w:rPr>
        <w:t xml:space="preserve">erra </w:t>
      </w:r>
      <w:r w:rsidR="00E00625" w:rsidRPr="000672F0">
        <w:rPr>
          <w:i/>
        </w:rPr>
        <w:t>n</w:t>
      </w:r>
      <w:r w:rsidR="00346F9D" w:rsidRPr="000672F0">
        <w:rPr>
          <w:i/>
        </w:rPr>
        <w:t xml:space="preserve">ullius </w:t>
      </w:r>
      <w:r w:rsidR="00346F9D" w:rsidRPr="000672F0">
        <w:t xml:space="preserve">and </w:t>
      </w:r>
      <w:r w:rsidR="00942AA3" w:rsidRPr="000672F0">
        <w:t xml:space="preserve">acknowledged </w:t>
      </w:r>
      <w:r w:rsidR="00CF6C87" w:rsidRPr="000672F0">
        <w:t>the</w:t>
      </w:r>
      <w:r w:rsidR="00346F9D" w:rsidRPr="000672F0">
        <w:t xml:space="preserve"> consequences of</w:t>
      </w:r>
      <w:r w:rsidR="00CF6C87" w:rsidRPr="000672F0">
        <w:t xml:space="preserve"> it</w:t>
      </w:r>
      <w:r w:rsidR="00346F9D" w:rsidRPr="000672F0">
        <w:t xml:space="preserve"> having disp</w:t>
      </w:r>
      <w:r w:rsidR="00CF6C87" w:rsidRPr="000672F0">
        <w:t>ossessed Indigenous Australians who had lived i</w:t>
      </w:r>
      <w:r w:rsidR="00346F9D" w:rsidRPr="000672F0">
        <w:t xml:space="preserve">n the Torres Strait and </w:t>
      </w:r>
      <w:r w:rsidR="00E00625" w:rsidRPr="000672F0">
        <w:t>mainland Australia for up to 40,</w:t>
      </w:r>
      <w:r w:rsidR="00346F9D" w:rsidRPr="000672F0">
        <w:t>000 years before European settlement in 1788.</w:t>
      </w:r>
      <w:r w:rsidR="00E00625" w:rsidRPr="000672F0">
        <w:rPr>
          <w:rStyle w:val="EndnoteReference"/>
        </w:rPr>
        <w:endnoteReference w:id="5"/>
      </w:r>
      <w:r w:rsidR="00346F9D" w:rsidRPr="000672F0">
        <w:t xml:space="preserve"> The High Court’s ruling condemned </w:t>
      </w:r>
      <w:r w:rsidR="00E00625" w:rsidRPr="000672F0">
        <w:rPr>
          <w:i/>
        </w:rPr>
        <w:t>t</w:t>
      </w:r>
      <w:r w:rsidR="00346F9D" w:rsidRPr="000672F0">
        <w:rPr>
          <w:i/>
        </w:rPr>
        <w:t xml:space="preserve">erra </w:t>
      </w:r>
      <w:r w:rsidR="00E00625" w:rsidRPr="000672F0">
        <w:rPr>
          <w:i/>
        </w:rPr>
        <w:t>n</w:t>
      </w:r>
      <w:r w:rsidR="00346F9D" w:rsidRPr="000672F0">
        <w:rPr>
          <w:i/>
        </w:rPr>
        <w:t xml:space="preserve">ullius </w:t>
      </w:r>
      <w:r w:rsidR="00346F9D" w:rsidRPr="000672F0">
        <w:t xml:space="preserve">as a </w:t>
      </w:r>
      <w:r w:rsidR="00E00625" w:rsidRPr="000672F0">
        <w:t>‘</w:t>
      </w:r>
      <w:r w:rsidR="00346F9D" w:rsidRPr="000672F0">
        <w:t>fiction by which the rights and interests of indigenous inhabitants in land were treated as non-existent</w:t>
      </w:r>
      <w:r w:rsidR="00E00625" w:rsidRPr="000672F0">
        <w:t>’</w:t>
      </w:r>
      <w:r w:rsidR="00346F9D" w:rsidRPr="000672F0">
        <w:t xml:space="preserve"> and</w:t>
      </w:r>
      <w:r w:rsidR="00CF6C87" w:rsidRPr="000672F0">
        <w:t xml:space="preserve"> found</w:t>
      </w:r>
      <w:r w:rsidR="00346F9D" w:rsidRPr="000672F0">
        <w:t xml:space="preserve"> </w:t>
      </w:r>
      <w:r w:rsidR="00CB13DE" w:rsidRPr="000672F0">
        <w:t xml:space="preserve">that </w:t>
      </w:r>
      <w:r w:rsidR="00346F9D" w:rsidRPr="000672F0">
        <w:t xml:space="preserve">therefore this unjust doctrine </w:t>
      </w:r>
      <w:r w:rsidR="00CB13DE" w:rsidRPr="000672F0">
        <w:t>had</w:t>
      </w:r>
      <w:r w:rsidR="00346F9D" w:rsidRPr="000672F0">
        <w:t xml:space="preserve"> </w:t>
      </w:r>
      <w:r w:rsidR="00CB13DE" w:rsidRPr="000672F0">
        <w:t>‘</w:t>
      </w:r>
      <w:r w:rsidR="00346F9D" w:rsidRPr="000672F0">
        <w:t>no place in the contemporary law of this country</w:t>
      </w:r>
      <w:r w:rsidR="00E00625" w:rsidRPr="000672F0">
        <w:t>’</w:t>
      </w:r>
      <w:r w:rsidR="00346F9D" w:rsidRPr="000672F0">
        <w:t>.</w:t>
      </w:r>
      <w:r w:rsidR="00346F9D" w:rsidRPr="000672F0">
        <w:rPr>
          <w:rStyle w:val="EndnoteReference"/>
        </w:rPr>
        <w:endnoteReference w:id="6"/>
      </w:r>
      <w:r w:rsidR="00C44992" w:rsidRPr="000672F0">
        <w:t xml:space="preserve"> Keating recognised that the High Court’s decision was significant in overturning a historically entrenched notion that allowed injustice to be perpetuated against Indigenous Australians through the dispossession of their land. </w:t>
      </w:r>
    </w:p>
    <w:p w:rsidR="008B641A" w:rsidRDefault="00C44992">
      <w:pPr>
        <w:spacing w:before="240" w:line="276" w:lineRule="auto"/>
      </w:pPr>
      <w:r w:rsidRPr="000672F0">
        <w:t xml:space="preserve">Apart from highlighting this historic truth, Keating observed that the High Court’s decision </w:t>
      </w:r>
      <w:r w:rsidR="00CF6C87" w:rsidRPr="000672F0">
        <w:t>i</w:t>
      </w:r>
      <w:r w:rsidRPr="000672F0">
        <w:t xml:space="preserve">n the </w:t>
      </w:r>
      <w:r w:rsidR="008B641A" w:rsidRPr="001C75D4">
        <w:t>Mabo</w:t>
      </w:r>
      <w:r w:rsidRPr="000672F0">
        <w:t xml:space="preserve"> case also establishe</w:t>
      </w:r>
      <w:r w:rsidR="00CF6C87" w:rsidRPr="000672F0">
        <w:t>d</w:t>
      </w:r>
      <w:r w:rsidRPr="000672F0">
        <w:t xml:space="preserve"> a fundamental truth that is not only pertinent to Australia</w:t>
      </w:r>
      <w:r w:rsidR="00CF6C87" w:rsidRPr="000672F0">
        <w:t>,</w:t>
      </w:r>
      <w:r w:rsidRPr="000672F0">
        <w:t xml:space="preserve"> but </w:t>
      </w:r>
      <w:r w:rsidR="00CF6C87" w:rsidRPr="000672F0">
        <w:t xml:space="preserve">which </w:t>
      </w:r>
      <w:r w:rsidRPr="000672F0">
        <w:t xml:space="preserve">transcends continents and cultures, and </w:t>
      </w:r>
      <w:r w:rsidR="00CF6C87" w:rsidRPr="000672F0">
        <w:t xml:space="preserve">is therefore universal. That is, </w:t>
      </w:r>
      <w:r w:rsidRPr="000672F0">
        <w:t xml:space="preserve">the duty of the state to </w:t>
      </w:r>
      <w:r w:rsidR="00CF6C87" w:rsidRPr="000672F0">
        <w:t>protect the dignity of its citiz</w:t>
      </w:r>
      <w:r w:rsidRPr="000672F0">
        <w:t xml:space="preserve">ens and those who occupy its lands, before and after its settlement. </w:t>
      </w:r>
      <w:r w:rsidR="00E836F5" w:rsidRPr="000672F0">
        <w:t>When the political and cultural rights of its people are treated with contempt and a lack of dignity, then subsequently it is the dignity of the state its</w:t>
      </w:r>
      <w:r w:rsidR="00D51FD6" w:rsidRPr="000672F0">
        <w:t>elf that is tarnished. O</w:t>
      </w:r>
      <w:r w:rsidR="00E836F5" w:rsidRPr="000672F0">
        <w:t xml:space="preserve">verturning the doctrine of </w:t>
      </w:r>
      <w:r w:rsidR="00E00625" w:rsidRPr="000672F0">
        <w:rPr>
          <w:i/>
        </w:rPr>
        <w:t>t</w:t>
      </w:r>
      <w:r w:rsidR="00E836F5" w:rsidRPr="000672F0">
        <w:rPr>
          <w:i/>
        </w:rPr>
        <w:t xml:space="preserve">erra </w:t>
      </w:r>
      <w:r w:rsidR="00E00625" w:rsidRPr="000672F0">
        <w:rPr>
          <w:i/>
        </w:rPr>
        <w:t>n</w:t>
      </w:r>
      <w:r w:rsidR="00E836F5" w:rsidRPr="000672F0">
        <w:rPr>
          <w:i/>
        </w:rPr>
        <w:t>ullius</w:t>
      </w:r>
      <w:r w:rsidR="00E836F5" w:rsidRPr="000672F0">
        <w:t xml:space="preserve"> and recognising the </w:t>
      </w:r>
      <w:r w:rsidR="00E00625" w:rsidRPr="000672F0">
        <w:t>n</w:t>
      </w:r>
      <w:r w:rsidR="00E836F5" w:rsidRPr="000672F0">
        <w:t xml:space="preserve">ative </w:t>
      </w:r>
      <w:r w:rsidR="00E00625" w:rsidRPr="000672F0">
        <w:t>t</w:t>
      </w:r>
      <w:r w:rsidR="00E836F5" w:rsidRPr="000672F0">
        <w:t>itle rights of Indigenous cultures is also articulated in various international treaties including the International Covenant on Civil and Political Rights (Article 27) to which Australia is a signatory</w:t>
      </w:r>
      <w:r w:rsidR="0023131C" w:rsidRPr="000672F0">
        <w:t>.</w:t>
      </w:r>
      <w:r w:rsidR="00E836F5" w:rsidRPr="000672F0">
        <w:rPr>
          <w:rStyle w:val="EndnoteReference"/>
        </w:rPr>
        <w:endnoteReference w:id="7"/>
      </w:r>
      <w:r w:rsidR="00FA2528" w:rsidRPr="000672F0">
        <w:t xml:space="preserve"> The </w:t>
      </w:r>
      <w:r w:rsidR="00FA2528" w:rsidRPr="000672F0">
        <w:lastRenderedPageBreak/>
        <w:t>human right to retain and practice o</w:t>
      </w:r>
      <w:r w:rsidR="00D51FD6" w:rsidRPr="000672F0">
        <w:t>ne’s own culture, particularly in the case of I</w:t>
      </w:r>
      <w:r w:rsidR="00FA2528" w:rsidRPr="000672F0">
        <w:t>ndigenous cultures, is therefore a fundamental truth that government</w:t>
      </w:r>
      <w:r w:rsidR="00D51FD6" w:rsidRPr="000672F0">
        <w:t>s</w:t>
      </w:r>
      <w:r w:rsidR="00FA2528" w:rsidRPr="000672F0">
        <w:t xml:space="preserve"> ha</w:t>
      </w:r>
      <w:r w:rsidR="00D51FD6" w:rsidRPr="000672F0">
        <w:t>ve</w:t>
      </w:r>
      <w:r w:rsidR="00FA2528" w:rsidRPr="000672F0">
        <w:t xml:space="preserve"> a duty </w:t>
      </w:r>
      <w:r w:rsidR="00FA2528" w:rsidRPr="009A521E">
        <w:t>an</w:t>
      </w:r>
      <w:r w:rsidR="009A521E" w:rsidRPr="009A521E">
        <w:softHyphen/>
      </w:r>
      <w:r w:rsidR="00FA2528" w:rsidRPr="009A521E">
        <w:t>d</w:t>
      </w:r>
      <w:r w:rsidR="00FA2528" w:rsidRPr="000672F0">
        <w:t xml:space="preserve"> responsibility to uphold. </w:t>
      </w:r>
    </w:p>
    <w:p w:rsidR="008B641A" w:rsidRDefault="00FA2528">
      <w:pPr>
        <w:spacing w:before="240" w:line="276" w:lineRule="auto"/>
      </w:pPr>
      <w:r w:rsidRPr="000672F0">
        <w:t xml:space="preserve">The recognition of this fundamental truth in the </w:t>
      </w:r>
      <w:r w:rsidR="008B641A" w:rsidRPr="00D25B1F">
        <w:t>Mabo</w:t>
      </w:r>
      <w:r w:rsidRPr="000672F0">
        <w:t xml:space="preserve"> decision highlighted the importance of protecting and respecting the land and cultural rights of Indigenous Australians. The concept of </w:t>
      </w:r>
      <w:r w:rsidR="009A521E">
        <w:t>n</w:t>
      </w:r>
      <w:r w:rsidRPr="000672F0">
        <w:t xml:space="preserve">ative </w:t>
      </w:r>
      <w:r w:rsidR="009A521E">
        <w:t>t</w:t>
      </w:r>
      <w:r w:rsidRPr="000672F0">
        <w:t xml:space="preserve">itle is articulated in the </w:t>
      </w:r>
      <w:r w:rsidR="008B641A" w:rsidRPr="00D25B1F">
        <w:t>Mabo</w:t>
      </w:r>
      <w:r w:rsidRPr="000672F0">
        <w:t xml:space="preserve"> decision and is enshrined in statute law in the </w:t>
      </w:r>
      <w:r w:rsidRPr="000672F0">
        <w:rPr>
          <w:i/>
        </w:rPr>
        <w:t>Native Title Act 1993</w:t>
      </w:r>
      <w:r w:rsidR="00F75B05" w:rsidRPr="000672F0">
        <w:t xml:space="preserve"> (Cth)</w:t>
      </w:r>
      <w:r w:rsidRPr="000672F0">
        <w:rPr>
          <w:i/>
        </w:rPr>
        <w:t xml:space="preserve">, </w:t>
      </w:r>
      <w:r w:rsidRPr="000672F0">
        <w:t xml:space="preserve">which provides a legal framework that recognises that Indigenous peoples have rights and </w:t>
      </w:r>
      <w:r w:rsidR="00F75B05" w:rsidRPr="000672F0">
        <w:t>interests</w:t>
      </w:r>
      <w:r w:rsidRPr="000672F0">
        <w:t xml:space="preserve"> in areas of land due to cultural and traditional values and customs</w:t>
      </w:r>
      <w:r w:rsidR="0023131C" w:rsidRPr="000672F0">
        <w:t>.</w:t>
      </w:r>
      <w:r w:rsidRPr="000672F0">
        <w:rPr>
          <w:rStyle w:val="EndnoteReference"/>
        </w:rPr>
        <w:endnoteReference w:id="8"/>
      </w:r>
      <w:r w:rsidRPr="000672F0">
        <w:t xml:space="preserve"> This legal enforcement of Indigenous rights helps to renew the Aboriginal community’s confidence in the nation’s legal system</w:t>
      </w:r>
      <w:r w:rsidR="00B44133" w:rsidRPr="000672F0">
        <w:t>. S</w:t>
      </w:r>
      <w:r w:rsidRPr="000672F0">
        <w:t xml:space="preserve">ince </w:t>
      </w:r>
      <w:r w:rsidR="00B44133" w:rsidRPr="000672F0">
        <w:t>n</w:t>
      </w:r>
      <w:r w:rsidRPr="000672F0">
        <w:t xml:space="preserve">ative </w:t>
      </w:r>
      <w:r w:rsidR="00B44133" w:rsidRPr="000672F0">
        <w:t>t</w:t>
      </w:r>
      <w:r w:rsidRPr="000672F0">
        <w:t>itle provides numerous benefits for Aboriginal Australians, such as allowing them to develop indus</w:t>
      </w:r>
      <w:r w:rsidR="00B44133" w:rsidRPr="000672F0">
        <w:t>try and resources on their land</w:t>
      </w:r>
      <w:r w:rsidRPr="000672F0">
        <w:t xml:space="preserve"> and to use it for ceremonial purposes</w:t>
      </w:r>
      <w:r w:rsidR="00B44133" w:rsidRPr="000672F0">
        <w:t>,</w:t>
      </w:r>
      <w:r w:rsidRPr="000672F0">
        <w:t xml:space="preserve"> </w:t>
      </w:r>
      <w:r w:rsidR="00B44133" w:rsidRPr="000672F0">
        <w:t>it</w:t>
      </w:r>
      <w:r w:rsidRPr="000672F0">
        <w:t xml:space="preserve"> breeds tolerance and respect in interactions with non-Indigenous Australians. </w:t>
      </w:r>
    </w:p>
    <w:p w:rsidR="008B641A" w:rsidRDefault="00FA2528">
      <w:pPr>
        <w:spacing w:before="240" w:line="276" w:lineRule="auto"/>
      </w:pPr>
      <w:r w:rsidRPr="000672F0">
        <w:t xml:space="preserve">The </w:t>
      </w:r>
      <w:r w:rsidR="008B641A" w:rsidRPr="00D25B1F">
        <w:t>Mabo</w:t>
      </w:r>
      <w:r w:rsidRPr="000672F0">
        <w:t xml:space="preserve"> decision was a significant moment in Australia’s political, social and cultural history </w:t>
      </w:r>
      <w:r w:rsidR="00502CEC" w:rsidRPr="000672F0">
        <w:t xml:space="preserve">as </w:t>
      </w:r>
      <w:r w:rsidRPr="000672F0">
        <w:t xml:space="preserve">it </w:t>
      </w:r>
      <w:r w:rsidR="00D13340" w:rsidRPr="000672F0">
        <w:t>set the nation in a new direction where the plight of Indigenous Australians went from being an uncomfortable topic in political discourse to a central issue that deserved the attention of political leaders and law-makers. Keating asserted that the decision la</w:t>
      </w:r>
      <w:r w:rsidR="00942AA3" w:rsidRPr="000672F0">
        <w:t>id</w:t>
      </w:r>
      <w:r w:rsidR="00D13340" w:rsidRPr="000672F0">
        <w:t xml:space="preserve"> </w:t>
      </w:r>
      <w:r w:rsidR="00E00625" w:rsidRPr="000672F0">
        <w:t>‘</w:t>
      </w:r>
      <w:r w:rsidR="00D13340" w:rsidRPr="000672F0">
        <w:t>the basis for justice</w:t>
      </w:r>
      <w:r w:rsidR="00E00625" w:rsidRPr="000672F0">
        <w:t>’</w:t>
      </w:r>
      <w:r w:rsidR="00D13340" w:rsidRPr="000672F0">
        <w:t xml:space="preserve"> because it establishe</w:t>
      </w:r>
      <w:r w:rsidR="00942AA3" w:rsidRPr="000672F0">
        <w:t>d</w:t>
      </w:r>
      <w:r w:rsidR="00D13340" w:rsidRPr="000672F0">
        <w:t xml:space="preserve"> the first step in correcting the injustices created by the use of the doctrine of </w:t>
      </w:r>
      <w:r w:rsidR="00031B72" w:rsidRPr="000672F0">
        <w:rPr>
          <w:i/>
        </w:rPr>
        <w:t>t</w:t>
      </w:r>
      <w:r w:rsidR="00D13340" w:rsidRPr="000672F0">
        <w:rPr>
          <w:i/>
        </w:rPr>
        <w:t xml:space="preserve">erra </w:t>
      </w:r>
      <w:r w:rsidR="00031B72" w:rsidRPr="000672F0">
        <w:rPr>
          <w:i/>
        </w:rPr>
        <w:t>n</w:t>
      </w:r>
      <w:r w:rsidR="00D13340" w:rsidRPr="000672F0">
        <w:rPr>
          <w:i/>
        </w:rPr>
        <w:t xml:space="preserve">ullius </w:t>
      </w:r>
      <w:r w:rsidR="00D13340" w:rsidRPr="000672F0">
        <w:t>in 1788. By placing an emphasis on the concept of justice, Keating stresse</w:t>
      </w:r>
      <w:r w:rsidR="00031B72" w:rsidRPr="000672F0">
        <w:t>d</w:t>
      </w:r>
      <w:r w:rsidR="00D13340" w:rsidRPr="000672F0">
        <w:t xml:space="preserve"> the duty incumbent upon the nation and its leaders to correct these injustices. The passage of the </w:t>
      </w:r>
      <w:r w:rsidR="00D13340" w:rsidRPr="00922F65">
        <w:t>Native Title Act</w:t>
      </w:r>
      <w:r w:rsidR="00D13340" w:rsidRPr="000672F0">
        <w:rPr>
          <w:i/>
        </w:rPr>
        <w:t xml:space="preserve"> </w:t>
      </w:r>
      <w:r w:rsidR="00D13340" w:rsidRPr="000672F0">
        <w:t xml:space="preserve">through the Australian </w:t>
      </w:r>
      <w:r w:rsidR="00031B72" w:rsidRPr="000672F0">
        <w:t>P</w:t>
      </w:r>
      <w:r w:rsidR="00D13340" w:rsidRPr="000672F0">
        <w:t>arliament was a significant step in legally recognising the existence of Indigenous Australian’s ownership of land befo</w:t>
      </w:r>
      <w:r w:rsidR="00031B72" w:rsidRPr="000672F0">
        <w:t>re European settlement and provided means</w:t>
      </w:r>
      <w:r w:rsidR="00D13340" w:rsidRPr="000672F0">
        <w:t xml:space="preserve"> for them to reconnect culturally and </w:t>
      </w:r>
      <w:r w:rsidR="000C1F41" w:rsidRPr="000672F0">
        <w:t>spiritually</w:t>
      </w:r>
      <w:r w:rsidR="00D13340" w:rsidRPr="000672F0">
        <w:t xml:space="preserve"> with their land. The </w:t>
      </w:r>
      <w:r w:rsidR="008B641A" w:rsidRPr="00D25B1F">
        <w:t>Mabo</w:t>
      </w:r>
      <w:r w:rsidR="00D13340" w:rsidRPr="000672F0">
        <w:t xml:space="preserve"> decision</w:t>
      </w:r>
      <w:r w:rsidR="00031B72" w:rsidRPr="000672F0">
        <w:t>,</w:t>
      </w:r>
      <w:r w:rsidR="00D13340" w:rsidRPr="000672F0">
        <w:t xml:space="preserve"> therefore</w:t>
      </w:r>
      <w:r w:rsidR="00031B72" w:rsidRPr="000672F0">
        <w:t>,</w:t>
      </w:r>
      <w:r w:rsidR="00D13340" w:rsidRPr="000672F0">
        <w:t xml:space="preserve"> provided a legal basis for injustices to be corrected. This form of justice is based on the fundamental truth alluded to by Keating and allows for the dignity of Indigenous Australians, their culture and identity to be acknowledged and given legal recognition. </w:t>
      </w:r>
    </w:p>
    <w:p w:rsidR="008B641A" w:rsidRDefault="00031B72">
      <w:pPr>
        <w:spacing w:before="240" w:line="276" w:lineRule="auto"/>
      </w:pPr>
      <w:r w:rsidRPr="000672F0">
        <w:t>Paul Keating highlighted</w:t>
      </w:r>
      <w:r w:rsidR="00D13340" w:rsidRPr="000672F0">
        <w:t xml:space="preserve"> that the justice laid down in the </w:t>
      </w:r>
      <w:r w:rsidR="008B641A" w:rsidRPr="009A521E">
        <w:t>Mabo</w:t>
      </w:r>
      <w:r w:rsidR="00D13340" w:rsidRPr="000672F0">
        <w:t xml:space="preserve"> decision and its recognition of a fundamental truth emphasised the importance of Indigenous cultures and rights. After the decision, Aboriginal rights campaigner</w:t>
      </w:r>
      <w:r w:rsidR="000B50AE">
        <w:t>,</w:t>
      </w:r>
      <w:r w:rsidR="00D13340" w:rsidRPr="000672F0">
        <w:t xml:space="preserve"> Charles Perkins</w:t>
      </w:r>
      <w:r w:rsidR="000B50AE">
        <w:t>,</w:t>
      </w:r>
      <w:r w:rsidR="00D13340" w:rsidRPr="000672F0">
        <w:t xml:space="preserve"> </w:t>
      </w:r>
      <w:r w:rsidR="000B50AE">
        <w:t>reiterated</w:t>
      </w:r>
      <w:r w:rsidR="00D13340" w:rsidRPr="000672F0">
        <w:t xml:space="preserve"> </w:t>
      </w:r>
      <w:r w:rsidR="00E7693C" w:rsidRPr="000672F0">
        <w:t xml:space="preserve">the Prime Minister’s remarks </w:t>
      </w:r>
      <w:r w:rsidR="00D13340" w:rsidRPr="000672F0">
        <w:t xml:space="preserve">that </w:t>
      </w:r>
      <w:r w:rsidR="00E00625" w:rsidRPr="000672F0">
        <w:t>‘</w:t>
      </w:r>
      <w:r w:rsidR="00D13340" w:rsidRPr="000672F0">
        <w:t xml:space="preserve">there is nothing to fear or to lose in </w:t>
      </w:r>
      <w:r w:rsidR="00C74FFD" w:rsidRPr="000672F0">
        <w:t>the</w:t>
      </w:r>
      <w:r w:rsidR="00D13340" w:rsidRPr="000672F0">
        <w:t xml:space="preserve"> recognition of historical truth, o</w:t>
      </w:r>
      <w:r w:rsidRPr="000672F0">
        <w:t xml:space="preserve">r </w:t>
      </w:r>
      <w:r w:rsidR="00D13340" w:rsidRPr="000672F0">
        <w:t>th</w:t>
      </w:r>
      <w:r w:rsidR="000C1F41" w:rsidRPr="000672F0">
        <w:t>e</w:t>
      </w:r>
      <w:r w:rsidR="00D13340" w:rsidRPr="000672F0">
        <w:t xml:space="preserve"> extension </w:t>
      </w:r>
      <w:r w:rsidR="00E7693C" w:rsidRPr="000672F0">
        <w:t>of</w:t>
      </w:r>
      <w:r w:rsidR="00D13340" w:rsidRPr="000672F0">
        <w:t xml:space="preserve"> social justice, or the deepening of Australian social democracy to include</w:t>
      </w:r>
      <w:r w:rsidR="000B50AE">
        <w:t xml:space="preserve"> i</w:t>
      </w:r>
      <w:r w:rsidR="00D13340" w:rsidRPr="000672F0">
        <w:t>ndigenous Australians</w:t>
      </w:r>
      <w:r w:rsidR="00E00625" w:rsidRPr="000672F0">
        <w:t>’</w:t>
      </w:r>
      <w:r w:rsidR="0023131C" w:rsidRPr="000672F0">
        <w:t>.</w:t>
      </w:r>
      <w:r w:rsidR="00D13340" w:rsidRPr="000672F0">
        <w:rPr>
          <w:rStyle w:val="EndnoteReference"/>
        </w:rPr>
        <w:endnoteReference w:id="9"/>
      </w:r>
      <w:r w:rsidR="00D13340" w:rsidRPr="000672F0">
        <w:t xml:space="preserve"> This focus on developing a more inclusive democracy and enhancing social justice after the </w:t>
      </w:r>
      <w:r w:rsidR="008B641A" w:rsidRPr="00D25B1F">
        <w:t>Mabo</w:t>
      </w:r>
      <w:r w:rsidR="00D13340" w:rsidRPr="000672F0">
        <w:t xml:space="preserve"> decision laid the groundwork for future improvements in the life of Aboriginal Australians. These improvements include symbolic gestures, such as Kevin Rudd’s apology to the stolen generations, through to the practical improvements in some aspects of the lives of </w:t>
      </w:r>
      <w:r w:rsidR="000C1F41" w:rsidRPr="000672F0">
        <w:t xml:space="preserve">Indigenous Australians. Through his statement, Keating recognised that the </w:t>
      </w:r>
      <w:r w:rsidR="008B641A" w:rsidRPr="00D25B1F">
        <w:t>Mabo</w:t>
      </w:r>
      <w:r w:rsidR="000C1F41" w:rsidRPr="000672F0">
        <w:t xml:space="preserve"> decision was influential in engendering a new national narrative </w:t>
      </w:r>
      <w:r w:rsidR="000B50AE">
        <w:t>focused</w:t>
      </w:r>
      <w:r w:rsidR="000C1F41" w:rsidRPr="000672F0">
        <w:t xml:space="preserve"> on inclusivity, th</w:t>
      </w:r>
      <w:r w:rsidR="00E7693C" w:rsidRPr="000672F0">
        <w:t>e correction of past injustices</w:t>
      </w:r>
      <w:r w:rsidR="000C1F41" w:rsidRPr="000672F0">
        <w:t xml:space="preserve"> and the will to improve the lives of all Australians regardless of cultural and historical differences. </w:t>
      </w:r>
    </w:p>
    <w:p w:rsidR="008425B4" w:rsidRDefault="008425B4" w:rsidP="008425B4">
      <w:pPr>
        <w:spacing w:line="276" w:lineRule="auto"/>
        <w:rPr>
          <w:b/>
        </w:rPr>
      </w:pPr>
    </w:p>
    <w:p w:rsidR="008425B4" w:rsidRPr="008425B4" w:rsidRDefault="008425B4" w:rsidP="008425B4">
      <w:pPr>
        <w:spacing w:line="276" w:lineRule="auto"/>
        <w:rPr>
          <w:b/>
        </w:rPr>
      </w:pPr>
      <w:r w:rsidRPr="008425B4">
        <w:rPr>
          <w:b/>
          <w:i/>
        </w:rPr>
        <w:lastRenderedPageBreak/>
        <w:t xml:space="preserve">Daniel Lopez, Year 12, Emmanuel School, Victoria, won the 2012 UNSW Law Essay Competition. Daniel’s essay was selected from entries submitted by Year 11 and 12 students from schools across Australia addressing the following question: </w:t>
      </w:r>
      <w:r w:rsidRPr="008425B4">
        <w:rPr>
          <w:b/>
        </w:rPr>
        <w:t>In 1992, Prime Minister Paul Keating said that the High Court decision in Mabo ‘establishes a fundamental truth and lays the basis for justice’. What did he mean by this statement?</w:t>
      </w:r>
    </w:p>
    <w:p w:rsidR="008425B4" w:rsidRDefault="008425B4" w:rsidP="008425B4">
      <w:pPr>
        <w:spacing w:line="276" w:lineRule="auto"/>
        <w:rPr>
          <w:b/>
        </w:rPr>
      </w:pPr>
    </w:p>
    <w:p w:rsidR="008425B4" w:rsidRDefault="008425B4" w:rsidP="008425B4">
      <w:pPr>
        <w:spacing w:line="276" w:lineRule="auto"/>
        <w:rPr>
          <w:b/>
          <w:i/>
        </w:rPr>
      </w:pPr>
      <w:r>
        <w:rPr>
          <w:b/>
          <w:i/>
        </w:rPr>
        <w:t xml:space="preserve">2012 </w:t>
      </w:r>
      <w:r w:rsidRPr="008425B4">
        <w:rPr>
          <w:b/>
          <w:i/>
        </w:rPr>
        <w:t xml:space="preserve">Runner Up: Brigitte Rheinberger, Year 12, Abbotsleigh, NSW </w:t>
      </w:r>
    </w:p>
    <w:p w:rsidR="004854BB" w:rsidRDefault="004854BB" w:rsidP="008425B4">
      <w:pPr>
        <w:spacing w:line="276" w:lineRule="auto"/>
        <w:rPr>
          <w:b/>
          <w:i/>
        </w:rPr>
      </w:pPr>
    </w:p>
    <w:p w:rsidR="008425B4" w:rsidRDefault="008425B4" w:rsidP="008425B4">
      <w:pPr>
        <w:spacing w:line="276" w:lineRule="auto"/>
        <w:rPr>
          <w:b/>
          <w:i/>
        </w:rPr>
      </w:pPr>
      <w:r>
        <w:rPr>
          <w:b/>
          <w:i/>
        </w:rPr>
        <w:t xml:space="preserve">2012 </w:t>
      </w:r>
      <w:r w:rsidRPr="008425B4">
        <w:rPr>
          <w:b/>
          <w:i/>
        </w:rPr>
        <w:t xml:space="preserve">Third Place: Nicholas Yuen, Year 12, Killara High School, NSW </w:t>
      </w:r>
    </w:p>
    <w:p w:rsidR="004854BB" w:rsidRDefault="004854BB" w:rsidP="004854BB">
      <w:pPr>
        <w:spacing w:line="276" w:lineRule="auto"/>
        <w:rPr>
          <w:b/>
          <w:i/>
        </w:rPr>
      </w:pPr>
    </w:p>
    <w:p w:rsidR="004854BB" w:rsidRPr="008425B4" w:rsidRDefault="004854BB" w:rsidP="004854BB">
      <w:pPr>
        <w:spacing w:line="276" w:lineRule="auto"/>
        <w:rPr>
          <w:b/>
          <w:i/>
        </w:rPr>
      </w:pPr>
      <w:r>
        <w:rPr>
          <w:b/>
          <w:i/>
        </w:rPr>
        <w:t xml:space="preserve">To </w:t>
      </w:r>
      <w:r w:rsidRPr="008425B4">
        <w:rPr>
          <w:b/>
          <w:i/>
        </w:rPr>
        <w:t>read Brigitte’s</w:t>
      </w:r>
      <w:r>
        <w:rPr>
          <w:b/>
          <w:i/>
        </w:rPr>
        <w:t xml:space="preserve"> or</w:t>
      </w:r>
      <w:r w:rsidRPr="008425B4">
        <w:rPr>
          <w:b/>
          <w:i/>
        </w:rPr>
        <w:t xml:space="preserve"> Nicholas’s </w:t>
      </w:r>
      <w:r>
        <w:rPr>
          <w:b/>
          <w:i/>
        </w:rPr>
        <w:t>essay, visit</w:t>
      </w:r>
      <w:r w:rsidRPr="008425B4">
        <w:rPr>
          <w:b/>
          <w:i/>
        </w:rPr>
        <w:t>:</w:t>
      </w:r>
      <w:r>
        <w:t xml:space="preserve"> </w:t>
      </w:r>
      <w:hyperlink r:id="rId7" w:history="1">
        <w:r>
          <w:rPr>
            <w:rStyle w:val="Hyperlink"/>
          </w:rPr>
          <w:t>http://www.ilc.unsw.edu.au/news/2012/03/unsw-law-essay-competition-2012</w:t>
        </w:r>
      </w:hyperlink>
    </w:p>
    <w:p w:rsidR="008425B4" w:rsidRDefault="008425B4">
      <w:pPr>
        <w:spacing w:before="240" w:line="276" w:lineRule="auto"/>
      </w:pPr>
    </w:p>
    <w:sectPr w:rsidR="008425B4" w:rsidSect="00A554CF">
      <w:footnotePr>
        <w:numFmt w:val="chicago"/>
      </w:footnotePr>
      <w:endnotePr>
        <w:numFmt w:val="decimal"/>
        <w:numRestart w:val="eachSect"/>
      </w:endnotePr>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926" w:rsidRDefault="00F96926">
      <w:r>
        <w:separator/>
      </w:r>
    </w:p>
  </w:endnote>
  <w:endnote w:type="continuationSeparator" w:id="0">
    <w:p w:rsidR="00F96926" w:rsidRDefault="00F96926">
      <w:r>
        <w:continuationSeparator/>
      </w:r>
    </w:p>
  </w:endnote>
  <w:endnote w:id="1">
    <w:p w:rsidR="00F96926" w:rsidRDefault="00F96926">
      <w:pPr>
        <w:pStyle w:val="EndnoteText"/>
      </w:pPr>
      <w:r>
        <w:rPr>
          <w:rStyle w:val="EndnoteReference"/>
        </w:rPr>
        <w:endnoteRef/>
      </w:r>
      <w:r>
        <w:t xml:space="preserve"> For </w:t>
      </w:r>
      <w:r w:rsidR="00FC6BE6">
        <w:t>the purpose of publication</w:t>
      </w:r>
      <w:r>
        <w:t xml:space="preserve"> this essay has been edited in line with the </w:t>
      </w:r>
      <w:r w:rsidRPr="00FE7628">
        <w:rPr>
          <w:i/>
        </w:rPr>
        <w:t>Indigenous Law Bulletin</w:t>
      </w:r>
      <w:r>
        <w:rPr>
          <w:i/>
        </w:rPr>
        <w:t>’s</w:t>
      </w:r>
      <w:r>
        <w:t xml:space="preserve"> editorial guidelines.</w:t>
      </w:r>
    </w:p>
  </w:endnote>
  <w:endnote w:id="2">
    <w:p w:rsidR="00F96926" w:rsidRDefault="00F96926">
      <w:pPr>
        <w:pStyle w:val="EndnoteText"/>
      </w:pPr>
      <w:r>
        <w:rPr>
          <w:rStyle w:val="EndnoteReference"/>
        </w:rPr>
        <w:endnoteRef/>
      </w:r>
      <w:r>
        <w:t xml:space="preserve"> </w:t>
      </w:r>
      <w:r w:rsidRPr="000672F0">
        <w:rPr>
          <w:i/>
        </w:rPr>
        <w:t xml:space="preserve">Mabo v Queensland </w:t>
      </w:r>
      <w:r>
        <w:rPr>
          <w:i/>
        </w:rPr>
        <w:t>[</w:t>
      </w:r>
      <w:r w:rsidRPr="000672F0">
        <w:rPr>
          <w:i/>
        </w:rPr>
        <w:t xml:space="preserve">No </w:t>
      </w:r>
      <w:r>
        <w:rPr>
          <w:i/>
        </w:rPr>
        <w:t>2]</w:t>
      </w:r>
      <w:r w:rsidRPr="00521275">
        <w:t xml:space="preserve"> </w:t>
      </w:r>
      <w:r>
        <w:t xml:space="preserve">(1992) 175 CLR 1. </w:t>
      </w:r>
    </w:p>
  </w:endnote>
  <w:endnote w:id="3">
    <w:p w:rsidR="00F96926" w:rsidRPr="000672F0" w:rsidRDefault="00F96926" w:rsidP="00E00625">
      <w:pPr>
        <w:pStyle w:val="EndnoteText"/>
      </w:pPr>
      <w:r w:rsidRPr="000672F0">
        <w:rPr>
          <w:rStyle w:val="EndnoteReference"/>
        </w:rPr>
        <w:endnoteRef/>
      </w:r>
      <w:r w:rsidRPr="000672F0">
        <w:t xml:space="preserve"> Paul Keating, ‘Paul Keating’s Redfern Speech’ (December 1992) from ANTAR Reports &lt;http://antar.org.au/reports/paul-keatings-redfern-speech&gt;.</w:t>
      </w:r>
    </w:p>
  </w:endnote>
  <w:endnote w:id="4">
    <w:p w:rsidR="00F96926" w:rsidRPr="000672F0" w:rsidRDefault="00F96926" w:rsidP="00E00625">
      <w:pPr>
        <w:pStyle w:val="EndnoteText"/>
      </w:pPr>
      <w:r w:rsidRPr="000672F0">
        <w:rPr>
          <w:rStyle w:val="EndnoteReference"/>
        </w:rPr>
        <w:endnoteRef/>
      </w:r>
      <w:r w:rsidRPr="000672F0">
        <w:t xml:space="preserve"> Moira Rayner, </w:t>
      </w:r>
      <w:r w:rsidRPr="000672F0">
        <w:rPr>
          <w:i/>
        </w:rPr>
        <w:t xml:space="preserve">Rooting Democracy </w:t>
      </w:r>
      <w:r w:rsidRPr="000672F0">
        <w:t>(Australia: Allen &amp; Unwin, 1997) 69</w:t>
      </w:r>
      <w:r>
        <w:t>.</w:t>
      </w:r>
    </w:p>
  </w:endnote>
  <w:endnote w:id="5">
    <w:p w:rsidR="00F96926" w:rsidRPr="000672F0" w:rsidRDefault="00F96926" w:rsidP="00E00625">
      <w:pPr>
        <w:pStyle w:val="EndnoteText"/>
      </w:pPr>
      <w:r w:rsidRPr="000672F0">
        <w:rPr>
          <w:rStyle w:val="EndnoteReference"/>
        </w:rPr>
        <w:endnoteRef/>
      </w:r>
      <w:r>
        <w:t xml:space="preserve"> A </w:t>
      </w:r>
      <w:r w:rsidRPr="000672F0">
        <w:t>K</w:t>
      </w:r>
      <w:r>
        <w:t xml:space="preserve"> </w:t>
      </w:r>
      <w:r w:rsidRPr="000672F0">
        <w:t xml:space="preserve">Macdougall, </w:t>
      </w:r>
      <w:r w:rsidRPr="000672F0">
        <w:rPr>
          <w:i/>
        </w:rPr>
        <w:t xml:space="preserve">Australia: An Illustrated History </w:t>
      </w:r>
      <w:r w:rsidRPr="000672F0">
        <w:t>(The Five Mile Press, 2004) 11.</w:t>
      </w:r>
    </w:p>
  </w:endnote>
  <w:endnote w:id="6">
    <w:p w:rsidR="00F96926" w:rsidRPr="000672F0" w:rsidRDefault="00F96926">
      <w:pPr>
        <w:pStyle w:val="EndnoteText"/>
      </w:pPr>
      <w:r w:rsidRPr="000672F0">
        <w:rPr>
          <w:rStyle w:val="EndnoteReference"/>
        </w:rPr>
        <w:endnoteRef/>
      </w:r>
      <w:r w:rsidRPr="000672F0">
        <w:t xml:space="preserve"> </w:t>
      </w:r>
      <w:r w:rsidRPr="000672F0">
        <w:rPr>
          <w:i/>
        </w:rPr>
        <w:t xml:space="preserve">Mabo v Queensland </w:t>
      </w:r>
      <w:r>
        <w:rPr>
          <w:i/>
        </w:rPr>
        <w:t>[</w:t>
      </w:r>
      <w:r w:rsidRPr="000672F0">
        <w:rPr>
          <w:i/>
        </w:rPr>
        <w:t xml:space="preserve">No </w:t>
      </w:r>
      <w:r>
        <w:rPr>
          <w:i/>
        </w:rPr>
        <w:t>2]</w:t>
      </w:r>
      <w:r w:rsidRPr="00521275">
        <w:t xml:space="preserve"> </w:t>
      </w:r>
      <w:r>
        <w:t>(1992) 175 CLR 1,</w:t>
      </w:r>
      <w:r w:rsidRPr="000672F0">
        <w:t xml:space="preserve"> 42</w:t>
      </w:r>
      <w:r>
        <w:t xml:space="preserve"> (Mason CJ, McHugh J,).</w:t>
      </w:r>
    </w:p>
  </w:endnote>
  <w:endnote w:id="7">
    <w:p w:rsidR="00F96926" w:rsidRPr="000672F0" w:rsidRDefault="00F96926" w:rsidP="00031B72">
      <w:pPr>
        <w:rPr>
          <w:sz w:val="20"/>
          <w:szCs w:val="20"/>
        </w:rPr>
      </w:pPr>
      <w:r w:rsidRPr="000672F0">
        <w:rPr>
          <w:rStyle w:val="EndnoteReference"/>
          <w:sz w:val="20"/>
          <w:szCs w:val="20"/>
        </w:rPr>
        <w:endnoteRef/>
      </w:r>
      <w:r w:rsidRPr="000672F0">
        <w:rPr>
          <w:sz w:val="20"/>
          <w:szCs w:val="20"/>
        </w:rPr>
        <w:t xml:space="preserve"> </w:t>
      </w:r>
      <w:r w:rsidRPr="000672F0">
        <w:rPr>
          <w:color w:val="000000"/>
          <w:sz w:val="20"/>
          <w:szCs w:val="20"/>
          <w:shd w:val="clear" w:color="auto" w:fill="FFFFFF"/>
        </w:rPr>
        <w:t>UN General Assembly,</w:t>
      </w:r>
      <w:r w:rsidRPr="000672F0">
        <w:rPr>
          <w:rStyle w:val="apple-converted-space"/>
          <w:color w:val="000000"/>
          <w:sz w:val="20"/>
          <w:szCs w:val="20"/>
          <w:shd w:val="clear" w:color="auto" w:fill="FFFFFF"/>
        </w:rPr>
        <w:t> </w:t>
      </w:r>
      <w:r w:rsidRPr="000672F0">
        <w:rPr>
          <w:i/>
          <w:iCs/>
          <w:color w:val="000000"/>
          <w:sz w:val="20"/>
          <w:szCs w:val="20"/>
          <w:shd w:val="clear" w:color="auto" w:fill="FFFFFF"/>
        </w:rPr>
        <w:t>International Covenant on Civil and Political Rights</w:t>
      </w:r>
      <w:r w:rsidRPr="000672F0">
        <w:rPr>
          <w:color w:val="000000"/>
          <w:sz w:val="20"/>
          <w:szCs w:val="20"/>
          <w:shd w:val="clear" w:color="auto" w:fill="FFFFFF"/>
        </w:rPr>
        <w:t>, 16 December 1966 (</w:t>
      </w:r>
      <w:r w:rsidRPr="000672F0">
        <w:rPr>
          <w:sz w:val="20"/>
          <w:szCs w:val="20"/>
        </w:rPr>
        <w:t>entered into force 23 March 1976)</w:t>
      </w:r>
      <w:r w:rsidRPr="000672F0">
        <w:rPr>
          <w:color w:val="000000"/>
          <w:sz w:val="20"/>
          <w:szCs w:val="20"/>
          <w:shd w:val="clear" w:color="auto" w:fill="FFFFFF"/>
        </w:rPr>
        <w:t xml:space="preserve"> </w:t>
      </w:r>
      <w:r>
        <w:rPr>
          <w:sz w:val="20"/>
          <w:szCs w:val="20"/>
        </w:rPr>
        <w:t>999 UNTS 171.</w:t>
      </w:r>
    </w:p>
  </w:endnote>
  <w:endnote w:id="8">
    <w:p w:rsidR="00F96926" w:rsidRPr="000672F0" w:rsidRDefault="00F96926">
      <w:pPr>
        <w:pStyle w:val="EndnoteText"/>
      </w:pPr>
      <w:r>
        <w:rPr>
          <w:rStyle w:val="EndnoteReference"/>
        </w:rPr>
        <w:endnoteRef/>
      </w:r>
      <w:r w:rsidRPr="008B641A">
        <w:t xml:space="preserve"> Jim Ouliaris, </w:t>
      </w:r>
      <w:r w:rsidRPr="008B641A">
        <w:rPr>
          <w:i/>
        </w:rPr>
        <w:t xml:space="preserve">The Legal Maze </w:t>
      </w:r>
      <w:r w:rsidRPr="008B641A">
        <w:t>(Macmillan Educations, 2010) 456.</w:t>
      </w:r>
    </w:p>
  </w:endnote>
  <w:endnote w:id="9">
    <w:p w:rsidR="00F96926" w:rsidRPr="00031B72" w:rsidRDefault="00F96926">
      <w:pPr>
        <w:pStyle w:val="EndnoteText"/>
      </w:pPr>
      <w:r>
        <w:rPr>
          <w:rStyle w:val="EndnoteReference"/>
        </w:rPr>
        <w:endnoteRef/>
      </w:r>
      <w:r w:rsidRPr="008B641A">
        <w:t xml:space="preserve"> Christine Fletcher, ‘Self-determination and managing the future’ in Christine Fletcher (ed), </w:t>
      </w:r>
      <w:r w:rsidRPr="008B641A">
        <w:rPr>
          <w:i/>
        </w:rPr>
        <w:t xml:space="preserve">Aboriginal Self Determination in Australia </w:t>
      </w:r>
      <w:r w:rsidRPr="008B641A">
        <w:t>(Aboriginal Studies Press, 1994) 39.</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926" w:rsidRDefault="00F96926">
      <w:r>
        <w:separator/>
      </w:r>
    </w:p>
  </w:footnote>
  <w:footnote w:type="continuationSeparator" w:id="0">
    <w:p w:rsidR="00F96926" w:rsidRDefault="00F969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drawingGridHorizontalSpacing w:val="120"/>
  <w:displayHorizontalDrawingGridEvery w:val="2"/>
  <w:noPunctuationKerning/>
  <w:characterSpacingControl w:val="doNotCompress"/>
  <w:footnotePr>
    <w:numFmt w:val="chicago"/>
    <w:footnote w:id="-1"/>
    <w:footnote w:id="0"/>
  </w:footnotePr>
  <w:endnotePr>
    <w:numFmt w:val="decimal"/>
    <w:numRestart w:val="eachSect"/>
    <w:endnote w:id="-1"/>
    <w:endnote w:id="0"/>
  </w:endnotePr>
  <w:compat/>
  <w:rsids>
    <w:rsidRoot w:val="00346F9D"/>
    <w:rsid w:val="00001BDF"/>
    <w:rsid w:val="00023A53"/>
    <w:rsid w:val="00026D60"/>
    <w:rsid w:val="00031B72"/>
    <w:rsid w:val="00040120"/>
    <w:rsid w:val="00040585"/>
    <w:rsid w:val="00042C89"/>
    <w:rsid w:val="00050257"/>
    <w:rsid w:val="000522E1"/>
    <w:rsid w:val="00055EDB"/>
    <w:rsid w:val="00063967"/>
    <w:rsid w:val="00064B4E"/>
    <w:rsid w:val="000672F0"/>
    <w:rsid w:val="00074800"/>
    <w:rsid w:val="00083730"/>
    <w:rsid w:val="00090A13"/>
    <w:rsid w:val="00093A70"/>
    <w:rsid w:val="00096869"/>
    <w:rsid w:val="000A0BFC"/>
    <w:rsid w:val="000B1DAE"/>
    <w:rsid w:val="000B50AE"/>
    <w:rsid w:val="000C1F41"/>
    <w:rsid w:val="000C3C90"/>
    <w:rsid w:val="000C5D65"/>
    <w:rsid w:val="000C7BBE"/>
    <w:rsid w:val="000D4B73"/>
    <w:rsid w:val="000D55DD"/>
    <w:rsid w:val="000E56F7"/>
    <w:rsid w:val="000F1AE0"/>
    <w:rsid w:val="000F2DE4"/>
    <w:rsid w:val="00101A18"/>
    <w:rsid w:val="00105826"/>
    <w:rsid w:val="00105E0C"/>
    <w:rsid w:val="00112FF1"/>
    <w:rsid w:val="00121A8A"/>
    <w:rsid w:val="001236A2"/>
    <w:rsid w:val="00136B61"/>
    <w:rsid w:val="00151CFF"/>
    <w:rsid w:val="00161098"/>
    <w:rsid w:val="001672F5"/>
    <w:rsid w:val="00172ABC"/>
    <w:rsid w:val="00187223"/>
    <w:rsid w:val="00196681"/>
    <w:rsid w:val="001A1DFB"/>
    <w:rsid w:val="001A6EDC"/>
    <w:rsid w:val="001B5B8F"/>
    <w:rsid w:val="001B6244"/>
    <w:rsid w:val="001C75D4"/>
    <w:rsid w:val="001D1036"/>
    <w:rsid w:val="001E41F5"/>
    <w:rsid w:val="001E798A"/>
    <w:rsid w:val="001F4551"/>
    <w:rsid w:val="0020028D"/>
    <w:rsid w:val="00201395"/>
    <w:rsid w:val="0020774F"/>
    <w:rsid w:val="0021791F"/>
    <w:rsid w:val="002221D6"/>
    <w:rsid w:val="0023131C"/>
    <w:rsid w:val="00237000"/>
    <w:rsid w:val="00237139"/>
    <w:rsid w:val="00261EE2"/>
    <w:rsid w:val="00264BF3"/>
    <w:rsid w:val="002804F3"/>
    <w:rsid w:val="00285DAA"/>
    <w:rsid w:val="00286153"/>
    <w:rsid w:val="002874E0"/>
    <w:rsid w:val="00291286"/>
    <w:rsid w:val="0029686D"/>
    <w:rsid w:val="002A07AD"/>
    <w:rsid w:val="002C4F9F"/>
    <w:rsid w:val="002C752D"/>
    <w:rsid w:val="002D05C5"/>
    <w:rsid w:val="002D3B8D"/>
    <w:rsid w:val="002D3BCA"/>
    <w:rsid w:val="002D79C4"/>
    <w:rsid w:val="002E0E75"/>
    <w:rsid w:val="002E2D63"/>
    <w:rsid w:val="002E4899"/>
    <w:rsid w:val="002E6286"/>
    <w:rsid w:val="002F1CC4"/>
    <w:rsid w:val="00302FE8"/>
    <w:rsid w:val="00346F9D"/>
    <w:rsid w:val="00347528"/>
    <w:rsid w:val="00347FD4"/>
    <w:rsid w:val="00355C6D"/>
    <w:rsid w:val="00356E09"/>
    <w:rsid w:val="00362D3E"/>
    <w:rsid w:val="00367225"/>
    <w:rsid w:val="003708B0"/>
    <w:rsid w:val="00371F36"/>
    <w:rsid w:val="003765D3"/>
    <w:rsid w:val="00377333"/>
    <w:rsid w:val="0039159B"/>
    <w:rsid w:val="00392287"/>
    <w:rsid w:val="003922ED"/>
    <w:rsid w:val="003A58BB"/>
    <w:rsid w:val="003B386D"/>
    <w:rsid w:val="003C5390"/>
    <w:rsid w:val="003D2D91"/>
    <w:rsid w:val="003D7434"/>
    <w:rsid w:val="003E032A"/>
    <w:rsid w:val="003F0CBB"/>
    <w:rsid w:val="003F40C0"/>
    <w:rsid w:val="003F7F42"/>
    <w:rsid w:val="00402ED1"/>
    <w:rsid w:val="00425F2C"/>
    <w:rsid w:val="00427488"/>
    <w:rsid w:val="004276FD"/>
    <w:rsid w:val="004306FE"/>
    <w:rsid w:val="00445FD1"/>
    <w:rsid w:val="00446A70"/>
    <w:rsid w:val="00454B8B"/>
    <w:rsid w:val="00465299"/>
    <w:rsid w:val="00466161"/>
    <w:rsid w:val="004679F4"/>
    <w:rsid w:val="004702EE"/>
    <w:rsid w:val="0047101F"/>
    <w:rsid w:val="00480157"/>
    <w:rsid w:val="00481C35"/>
    <w:rsid w:val="00481E69"/>
    <w:rsid w:val="00483A96"/>
    <w:rsid w:val="004854BB"/>
    <w:rsid w:val="004B4586"/>
    <w:rsid w:val="004B4688"/>
    <w:rsid w:val="004B5AEF"/>
    <w:rsid w:val="004B63F5"/>
    <w:rsid w:val="004C24EC"/>
    <w:rsid w:val="004C612E"/>
    <w:rsid w:val="004D10EB"/>
    <w:rsid w:val="004D3004"/>
    <w:rsid w:val="004D6CC2"/>
    <w:rsid w:val="004E0B2A"/>
    <w:rsid w:val="004E3F07"/>
    <w:rsid w:val="004F02D5"/>
    <w:rsid w:val="004F26FD"/>
    <w:rsid w:val="004F4ACB"/>
    <w:rsid w:val="00502CEC"/>
    <w:rsid w:val="0050502D"/>
    <w:rsid w:val="00507932"/>
    <w:rsid w:val="00512434"/>
    <w:rsid w:val="005162B4"/>
    <w:rsid w:val="00517E0B"/>
    <w:rsid w:val="00521275"/>
    <w:rsid w:val="0052191E"/>
    <w:rsid w:val="00525F31"/>
    <w:rsid w:val="00527E50"/>
    <w:rsid w:val="00530FFA"/>
    <w:rsid w:val="005412E8"/>
    <w:rsid w:val="005468EC"/>
    <w:rsid w:val="00546C8D"/>
    <w:rsid w:val="00546D14"/>
    <w:rsid w:val="00550E1B"/>
    <w:rsid w:val="00556938"/>
    <w:rsid w:val="00561742"/>
    <w:rsid w:val="0057131F"/>
    <w:rsid w:val="005732CD"/>
    <w:rsid w:val="005740DD"/>
    <w:rsid w:val="00576586"/>
    <w:rsid w:val="00576EF3"/>
    <w:rsid w:val="00595EF2"/>
    <w:rsid w:val="00597223"/>
    <w:rsid w:val="005A7D3E"/>
    <w:rsid w:val="005B09BD"/>
    <w:rsid w:val="005B7005"/>
    <w:rsid w:val="005C0A1C"/>
    <w:rsid w:val="005C3681"/>
    <w:rsid w:val="005C3AB4"/>
    <w:rsid w:val="005C69A2"/>
    <w:rsid w:val="005D3813"/>
    <w:rsid w:val="005D6FF8"/>
    <w:rsid w:val="005E03D2"/>
    <w:rsid w:val="005E54BD"/>
    <w:rsid w:val="00604E99"/>
    <w:rsid w:val="00607EEF"/>
    <w:rsid w:val="006143A7"/>
    <w:rsid w:val="00615CF4"/>
    <w:rsid w:val="0062205F"/>
    <w:rsid w:val="00622588"/>
    <w:rsid w:val="006237AF"/>
    <w:rsid w:val="00625ED5"/>
    <w:rsid w:val="006268C9"/>
    <w:rsid w:val="00630C21"/>
    <w:rsid w:val="0064025D"/>
    <w:rsid w:val="00653202"/>
    <w:rsid w:val="00653476"/>
    <w:rsid w:val="00654EAA"/>
    <w:rsid w:val="00666CA9"/>
    <w:rsid w:val="00672172"/>
    <w:rsid w:val="006728D9"/>
    <w:rsid w:val="0067447D"/>
    <w:rsid w:val="00682A93"/>
    <w:rsid w:val="00685CFD"/>
    <w:rsid w:val="00697625"/>
    <w:rsid w:val="006A14C6"/>
    <w:rsid w:val="006A1DBC"/>
    <w:rsid w:val="006A7FF6"/>
    <w:rsid w:val="006C0A58"/>
    <w:rsid w:val="006C3E84"/>
    <w:rsid w:val="006C5A1E"/>
    <w:rsid w:val="006D21E3"/>
    <w:rsid w:val="00703085"/>
    <w:rsid w:val="00707B50"/>
    <w:rsid w:val="00735E3C"/>
    <w:rsid w:val="007417EC"/>
    <w:rsid w:val="0075256B"/>
    <w:rsid w:val="00754B7A"/>
    <w:rsid w:val="00755AA3"/>
    <w:rsid w:val="0076469E"/>
    <w:rsid w:val="007777F8"/>
    <w:rsid w:val="0078378E"/>
    <w:rsid w:val="00784020"/>
    <w:rsid w:val="0079556B"/>
    <w:rsid w:val="007955F3"/>
    <w:rsid w:val="007A2AE5"/>
    <w:rsid w:val="007A7E4B"/>
    <w:rsid w:val="007B4AAD"/>
    <w:rsid w:val="007B5BB9"/>
    <w:rsid w:val="007C169E"/>
    <w:rsid w:val="007C3598"/>
    <w:rsid w:val="007C606C"/>
    <w:rsid w:val="007D3E5F"/>
    <w:rsid w:val="007D5BEE"/>
    <w:rsid w:val="007F007C"/>
    <w:rsid w:val="007F3FBA"/>
    <w:rsid w:val="007F48A4"/>
    <w:rsid w:val="007F5CE8"/>
    <w:rsid w:val="008051DA"/>
    <w:rsid w:val="008122DC"/>
    <w:rsid w:val="00816724"/>
    <w:rsid w:val="00821434"/>
    <w:rsid w:val="008257F6"/>
    <w:rsid w:val="008266B1"/>
    <w:rsid w:val="008350D3"/>
    <w:rsid w:val="00835DCC"/>
    <w:rsid w:val="00835FA8"/>
    <w:rsid w:val="008425B4"/>
    <w:rsid w:val="00844445"/>
    <w:rsid w:val="00845C67"/>
    <w:rsid w:val="00852C0D"/>
    <w:rsid w:val="008541EE"/>
    <w:rsid w:val="0085505E"/>
    <w:rsid w:val="00857C2F"/>
    <w:rsid w:val="00857CBD"/>
    <w:rsid w:val="00861442"/>
    <w:rsid w:val="00861A32"/>
    <w:rsid w:val="0086237F"/>
    <w:rsid w:val="008640CB"/>
    <w:rsid w:val="008645EC"/>
    <w:rsid w:val="00870947"/>
    <w:rsid w:val="00871D7A"/>
    <w:rsid w:val="00872106"/>
    <w:rsid w:val="00876D9B"/>
    <w:rsid w:val="008836D9"/>
    <w:rsid w:val="00886835"/>
    <w:rsid w:val="00894A75"/>
    <w:rsid w:val="008A0F2D"/>
    <w:rsid w:val="008A11DA"/>
    <w:rsid w:val="008A6FAE"/>
    <w:rsid w:val="008B1FC4"/>
    <w:rsid w:val="008B4B9E"/>
    <w:rsid w:val="008B4E82"/>
    <w:rsid w:val="008B5507"/>
    <w:rsid w:val="008B641A"/>
    <w:rsid w:val="008C1D48"/>
    <w:rsid w:val="008C74A5"/>
    <w:rsid w:val="008D2E5D"/>
    <w:rsid w:val="008F03C5"/>
    <w:rsid w:val="008F049C"/>
    <w:rsid w:val="009002AF"/>
    <w:rsid w:val="00900702"/>
    <w:rsid w:val="0090247A"/>
    <w:rsid w:val="00905B1E"/>
    <w:rsid w:val="009069E1"/>
    <w:rsid w:val="009073A0"/>
    <w:rsid w:val="0091577A"/>
    <w:rsid w:val="00922F65"/>
    <w:rsid w:val="00924B6D"/>
    <w:rsid w:val="00937685"/>
    <w:rsid w:val="00942AA3"/>
    <w:rsid w:val="00954DBB"/>
    <w:rsid w:val="0095608B"/>
    <w:rsid w:val="00965A9D"/>
    <w:rsid w:val="009747A7"/>
    <w:rsid w:val="00981D70"/>
    <w:rsid w:val="009842A2"/>
    <w:rsid w:val="0098518B"/>
    <w:rsid w:val="00986279"/>
    <w:rsid w:val="00997A95"/>
    <w:rsid w:val="009A521E"/>
    <w:rsid w:val="009A6B74"/>
    <w:rsid w:val="009A6E9E"/>
    <w:rsid w:val="009B1306"/>
    <w:rsid w:val="009B189B"/>
    <w:rsid w:val="009B1A7F"/>
    <w:rsid w:val="009B3B5E"/>
    <w:rsid w:val="009B4719"/>
    <w:rsid w:val="009B4A72"/>
    <w:rsid w:val="009C0C70"/>
    <w:rsid w:val="009D083C"/>
    <w:rsid w:val="009D24AB"/>
    <w:rsid w:val="009D3F90"/>
    <w:rsid w:val="009E4431"/>
    <w:rsid w:val="009F3C06"/>
    <w:rsid w:val="00A02F90"/>
    <w:rsid w:val="00A04146"/>
    <w:rsid w:val="00A118D7"/>
    <w:rsid w:val="00A348B1"/>
    <w:rsid w:val="00A35CFF"/>
    <w:rsid w:val="00A4486E"/>
    <w:rsid w:val="00A554CF"/>
    <w:rsid w:val="00A64EA1"/>
    <w:rsid w:val="00A70136"/>
    <w:rsid w:val="00A75D60"/>
    <w:rsid w:val="00A82748"/>
    <w:rsid w:val="00A878DF"/>
    <w:rsid w:val="00A977D9"/>
    <w:rsid w:val="00AA2A47"/>
    <w:rsid w:val="00AB1E83"/>
    <w:rsid w:val="00AB225B"/>
    <w:rsid w:val="00AD0AC8"/>
    <w:rsid w:val="00AE01B1"/>
    <w:rsid w:val="00AE2D05"/>
    <w:rsid w:val="00AE3C93"/>
    <w:rsid w:val="00AE5D88"/>
    <w:rsid w:val="00AE78EE"/>
    <w:rsid w:val="00AF2166"/>
    <w:rsid w:val="00AF2B53"/>
    <w:rsid w:val="00AF6AEC"/>
    <w:rsid w:val="00B03A20"/>
    <w:rsid w:val="00B03C32"/>
    <w:rsid w:val="00B045F5"/>
    <w:rsid w:val="00B07F40"/>
    <w:rsid w:val="00B1504D"/>
    <w:rsid w:val="00B178CD"/>
    <w:rsid w:val="00B215AE"/>
    <w:rsid w:val="00B31DF9"/>
    <w:rsid w:val="00B34491"/>
    <w:rsid w:val="00B34FE2"/>
    <w:rsid w:val="00B43925"/>
    <w:rsid w:val="00B44133"/>
    <w:rsid w:val="00B50CDB"/>
    <w:rsid w:val="00B51CD3"/>
    <w:rsid w:val="00B60954"/>
    <w:rsid w:val="00B60AB2"/>
    <w:rsid w:val="00B66C15"/>
    <w:rsid w:val="00B708E9"/>
    <w:rsid w:val="00B74D48"/>
    <w:rsid w:val="00B75291"/>
    <w:rsid w:val="00B767EA"/>
    <w:rsid w:val="00B847A4"/>
    <w:rsid w:val="00B85B81"/>
    <w:rsid w:val="00B93788"/>
    <w:rsid w:val="00BA0DB5"/>
    <w:rsid w:val="00BA74C8"/>
    <w:rsid w:val="00BB5731"/>
    <w:rsid w:val="00BC1936"/>
    <w:rsid w:val="00BC5AF4"/>
    <w:rsid w:val="00BD0224"/>
    <w:rsid w:val="00BD36C1"/>
    <w:rsid w:val="00BE7EAF"/>
    <w:rsid w:val="00BF3F06"/>
    <w:rsid w:val="00BF6264"/>
    <w:rsid w:val="00C0035B"/>
    <w:rsid w:val="00C10910"/>
    <w:rsid w:val="00C2371C"/>
    <w:rsid w:val="00C23DBA"/>
    <w:rsid w:val="00C25571"/>
    <w:rsid w:val="00C3157B"/>
    <w:rsid w:val="00C327CC"/>
    <w:rsid w:val="00C41E6E"/>
    <w:rsid w:val="00C425E2"/>
    <w:rsid w:val="00C446B8"/>
    <w:rsid w:val="00C44992"/>
    <w:rsid w:val="00C47638"/>
    <w:rsid w:val="00C51C96"/>
    <w:rsid w:val="00C53B5F"/>
    <w:rsid w:val="00C53D02"/>
    <w:rsid w:val="00C618BE"/>
    <w:rsid w:val="00C661FD"/>
    <w:rsid w:val="00C66D45"/>
    <w:rsid w:val="00C72458"/>
    <w:rsid w:val="00C73136"/>
    <w:rsid w:val="00C74141"/>
    <w:rsid w:val="00C74C65"/>
    <w:rsid w:val="00C74FFD"/>
    <w:rsid w:val="00C92BAB"/>
    <w:rsid w:val="00C9536C"/>
    <w:rsid w:val="00CB13DE"/>
    <w:rsid w:val="00CD1607"/>
    <w:rsid w:val="00CD18D7"/>
    <w:rsid w:val="00CE0B88"/>
    <w:rsid w:val="00CE3BE1"/>
    <w:rsid w:val="00CE6753"/>
    <w:rsid w:val="00CF0A46"/>
    <w:rsid w:val="00CF2839"/>
    <w:rsid w:val="00CF6C87"/>
    <w:rsid w:val="00D10201"/>
    <w:rsid w:val="00D13340"/>
    <w:rsid w:val="00D14CB3"/>
    <w:rsid w:val="00D173A9"/>
    <w:rsid w:val="00D2230C"/>
    <w:rsid w:val="00D2521C"/>
    <w:rsid w:val="00D25B1F"/>
    <w:rsid w:val="00D40A01"/>
    <w:rsid w:val="00D42323"/>
    <w:rsid w:val="00D42B4C"/>
    <w:rsid w:val="00D51FD6"/>
    <w:rsid w:val="00D60E6F"/>
    <w:rsid w:val="00D661C7"/>
    <w:rsid w:val="00D74B1E"/>
    <w:rsid w:val="00D90832"/>
    <w:rsid w:val="00DA1ED0"/>
    <w:rsid w:val="00DA6FDA"/>
    <w:rsid w:val="00DA7043"/>
    <w:rsid w:val="00DB71FF"/>
    <w:rsid w:val="00DB7755"/>
    <w:rsid w:val="00DB7AE3"/>
    <w:rsid w:val="00DC4808"/>
    <w:rsid w:val="00DC7679"/>
    <w:rsid w:val="00DC7793"/>
    <w:rsid w:val="00DE4D47"/>
    <w:rsid w:val="00DE6307"/>
    <w:rsid w:val="00DF57B5"/>
    <w:rsid w:val="00E00625"/>
    <w:rsid w:val="00E00A19"/>
    <w:rsid w:val="00E04B16"/>
    <w:rsid w:val="00E107A1"/>
    <w:rsid w:val="00E11123"/>
    <w:rsid w:val="00E17A8C"/>
    <w:rsid w:val="00E21B24"/>
    <w:rsid w:val="00E27041"/>
    <w:rsid w:val="00E35CFF"/>
    <w:rsid w:val="00E40468"/>
    <w:rsid w:val="00E47ECD"/>
    <w:rsid w:val="00E55926"/>
    <w:rsid w:val="00E610A5"/>
    <w:rsid w:val="00E66B07"/>
    <w:rsid w:val="00E760FE"/>
    <w:rsid w:val="00E7693C"/>
    <w:rsid w:val="00E836F5"/>
    <w:rsid w:val="00E909F0"/>
    <w:rsid w:val="00E9641B"/>
    <w:rsid w:val="00E976AA"/>
    <w:rsid w:val="00EB0892"/>
    <w:rsid w:val="00EB57FF"/>
    <w:rsid w:val="00EB58A7"/>
    <w:rsid w:val="00EC182F"/>
    <w:rsid w:val="00EC34AE"/>
    <w:rsid w:val="00EC797A"/>
    <w:rsid w:val="00EC79A8"/>
    <w:rsid w:val="00EE36B7"/>
    <w:rsid w:val="00F022F2"/>
    <w:rsid w:val="00F034E1"/>
    <w:rsid w:val="00F1679F"/>
    <w:rsid w:val="00F2442B"/>
    <w:rsid w:val="00F436CD"/>
    <w:rsid w:val="00F43F96"/>
    <w:rsid w:val="00F44D3C"/>
    <w:rsid w:val="00F54693"/>
    <w:rsid w:val="00F5580D"/>
    <w:rsid w:val="00F75B05"/>
    <w:rsid w:val="00F8235E"/>
    <w:rsid w:val="00F84087"/>
    <w:rsid w:val="00F86640"/>
    <w:rsid w:val="00F86B2D"/>
    <w:rsid w:val="00F86EAE"/>
    <w:rsid w:val="00F87BD3"/>
    <w:rsid w:val="00F9354B"/>
    <w:rsid w:val="00F96926"/>
    <w:rsid w:val="00F97B8F"/>
    <w:rsid w:val="00FA2528"/>
    <w:rsid w:val="00FB0994"/>
    <w:rsid w:val="00FB616C"/>
    <w:rsid w:val="00FB7EA9"/>
    <w:rsid w:val="00FC1604"/>
    <w:rsid w:val="00FC3504"/>
    <w:rsid w:val="00FC6BE6"/>
    <w:rsid w:val="00FE7628"/>
    <w:rsid w:val="00FE7A12"/>
    <w:rsid w:val="00FF103D"/>
    <w:rsid w:val="00FF3274"/>
    <w:rsid w:val="00FF329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797A"/>
    <w:rPr>
      <w:sz w:val="24"/>
      <w:szCs w:val="24"/>
    </w:rPr>
  </w:style>
  <w:style w:type="paragraph" w:styleId="Heading1">
    <w:name w:val="heading 1"/>
    <w:basedOn w:val="Normal"/>
    <w:next w:val="Normal"/>
    <w:qFormat/>
    <w:rsid w:val="004679F4"/>
    <w:pPr>
      <w:keepNext/>
      <w:outlineLvl w:val="0"/>
    </w:pPr>
    <w:rPr>
      <w:rFonts w:ascii="New York" w:hAnsi="New York"/>
      <w:noProof/>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4808"/>
    <w:pPr>
      <w:tabs>
        <w:tab w:val="center" w:pos="4320"/>
        <w:tab w:val="right" w:pos="8640"/>
      </w:tabs>
    </w:pPr>
  </w:style>
  <w:style w:type="paragraph" w:styleId="Footer">
    <w:name w:val="footer"/>
    <w:basedOn w:val="Normal"/>
    <w:rsid w:val="00DC4808"/>
    <w:pPr>
      <w:tabs>
        <w:tab w:val="center" w:pos="4320"/>
        <w:tab w:val="right" w:pos="8640"/>
      </w:tabs>
    </w:pPr>
  </w:style>
  <w:style w:type="paragraph" w:customStyle="1" w:styleId="Par1">
    <w:name w:val="Par1"/>
    <w:basedOn w:val="Normal"/>
    <w:rsid w:val="004679F4"/>
    <w:pPr>
      <w:spacing w:before="120" w:after="120"/>
      <w:jc w:val="both"/>
    </w:pPr>
    <w:rPr>
      <w:rFonts w:ascii="New York" w:hAnsi="New York"/>
      <w:noProof/>
    </w:rPr>
  </w:style>
  <w:style w:type="paragraph" w:customStyle="1" w:styleId="Hang1">
    <w:name w:val="Hang1"/>
    <w:basedOn w:val="Normal"/>
    <w:rsid w:val="004679F4"/>
    <w:pPr>
      <w:ind w:left="720" w:hanging="720"/>
    </w:pPr>
    <w:rPr>
      <w:rFonts w:ascii="New York" w:hAnsi="New York"/>
      <w:noProof/>
      <w:szCs w:val="20"/>
      <w:lang w:val="en-GB"/>
    </w:rPr>
  </w:style>
  <w:style w:type="paragraph" w:customStyle="1" w:styleId="Par2">
    <w:name w:val="Par2"/>
    <w:basedOn w:val="Normal"/>
    <w:rsid w:val="004679F4"/>
    <w:pPr>
      <w:spacing w:before="240" w:after="240"/>
      <w:ind w:left="720"/>
      <w:jc w:val="both"/>
    </w:pPr>
    <w:rPr>
      <w:rFonts w:ascii="New York" w:hAnsi="New York"/>
      <w:noProof/>
      <w:szCs w:val="20"/>
    </w:rPr>
  </w:style>
  <w:style w:type="paragraph" w:styleId="FootnoteText">
    <w:name w:val="footnote text"/>
    <w:basedOn w:val="Par1"/>
    <w:rsid w:val="004679F4"/>
    <w:pPr>
      <w:ind w:left="720" w:hanging="720"/>
    </w:pPr>
    <w:rPr>
      <w:sz w:val="18"/>
    </w:rPr>
  </w:style>
  <w:style w:type="paragraph" w:customStyle="1" w:styleId="Hang2">
    <w:name w:val="Hang2"/>
    <w:basedOn w:val="Normal"/>
    <w:rsid w:val="004679F4"/>
    <w:pPr>
      <w:ind w:left="1440" w:hanging="1440"/>
    </w:pPr>
    <w:rPr>
      <w:rFonts w:ascii="New York" w:hAnsi="New York"/>
      <w:noProof/>
      <w:szCs w:val="20"/>
      <w:lang w:val="en-GB"/>
    </w:rPr>
  </w:style>
  <w:style w:type="paragraph" w:styleId="TOC1">
    <w:name w:val="toc 1"/>
    <w:basedOn w:val="Heading1"/>
    <w:next w:val="Normal"/>
    <w:autoRedefine/>
    <w:semiHidden/>
    <w:rsid w:val="00B51CD3"/>
    <w:pPr>
      <w:keepLines/>
      <w:tabs>
        <w:tab w:val="left" w:pos="1440"/>
        <w:tab w:val="right" w:pos="7088"/>
      </w:tabs>
      <w:spacing w:before="120" w:after="60"/>
      <w:ind w:left="1474" w:right="567" w:hanging="1474"/>
    </w:pPr>
    <w:rPr>
      <w:rFonts w:ascii="Times New Roman" w:hAnsi="Times New Roman" w:cs="Arial"/>
      <w:bCs/>
      <w:noProof w:val="0"/>
      <w:kern w:val="28"/>
      <w:sz w:val="22"/>
      <w:szCs w:val="36"/>
      <w:u w:val="none"/>
      <w:lang w:val="en-AU"/>
    </w:rPr>
  </w:style>
  <w:style w:type="paragraph" w:styleId="EndnoteText">
    <w:name w:val="endnote text"/>
    <w:basedOn w:val="Normal"/>
    <w:link w:val="EndnoteTextChar"/>
    <w:rsid w:val="00653202"/>
    <w:rPr>
      <w:sz w:val="20"/>
      <w:szCs w:val="20"/>
    </w:rPr>
  </w:style>
  <w:style w:type="character" w:customStyle="1" w:styleId="EndnoteTextChar">
    <w:name w:val="Endnote Text Char"/>
    <w:basedOn w:val="DefaultParagraphFont"/>
    <w:link w:val="EndnoteText"/>
    <w:rsid w:val="00653202"/>
  </w:style>
  <w:style w:type="character" w:styleId="EndnoteReference">
    <w:name w:val="endnote reference"/>
    <w:basedOn w:val="DefaultParagraphFont"/>
    <w:rsid w:val="00653202"/>
    <w:rPr>
      <w:vertAlign w:val="superscript"/>
    </w:rPr>
  </w:style>
  <w:style w:type="character" w:styleId="Hyperlink">
    <w:name w:val="Hyperlink"/>
    <w:basedOn w:val="DefaultParagraphFont"/>
    <w:rsid w:val="00C44992"/>
    <w:rPr>
      <w:color w:val="0000FF"/>
      <w:u w:val="single"/>
    </w:rPr>
  </w:style>
  <w:style w:type="character" w:styleId="CommentReference">
    <w:name w:val="annotation reference"/>
    <w:basedOn w:val="DefaultParagraphFont"/>
    <w:rsid w:val="00E00625"/>
    <w:rPr>
      <w:sz w:val="16"/>
      <w:szCs w:val="16"/>
    </w:rPr>
  </w:style>
  <w:style w:type="paragraph" w:styleId="CommentText">
    <w:name w:val="annotation text"/>
    <w:basedOn w:val="Normal"/>
    <w:link w:val="CommentTextChar"/>
    <w:rsid w:val="00E00625"/>
    <w:rPr>
      <w:sz w:val="20"/>
      <w:szCs w:val="20"/>
    </w:rPr>
  </w:style>
  <w:style w:type="character" w:customStyle="1" w:styleId="CommentTextChar">
    <w:name w:val="Comment Text Char"/>
    <w:basedOn w:val="DefaultParagraphFont"/>
    <w:link w:val="CommentText"/>
    <w:rsid w:val="00E00625"/>
  </w:style>
  <w:style w:type="paragraph" w:styleId="CommentSubject">
    <w:name w:val="annotation subject"/>
    <w:basedOn w:val="CommentText"/>
    <w:next w:val="CommentText"/>
    <w:link w:val="CommentSubjectChar"/>
    <w:rsid w:val="00E00625"/>
    <w:rPr>
      <w:b/>
      <w:bCs/>
    </w:rPr>
  </w:style>
  <w:style w:type="character" w:customStyle="1" w:styleId="CommentSubjectChar">
    <w:name w:val="Comment Subject Char"/>
    <w:basedOn w:val="CommentTextChar"/>
    <w:link w:val="CommentSubject"/>
    <w:rsid w:val="00E00625"/>
    <w:rPr>
      <w:b/>
      <w:bCs/>
    </w:rPr>
  </w:style>
  <w:style w:type="paragraph" w:styleId="BalloonText">
    <w:name w:val="Balloon Text"/>
    <w:basedOn w:val="Normal"/>
    <w:link w:val="BalloonTextChar"/>
    <w:rsid w:val="00E00625"/>
    <w:rPr>
      <w:rFonts w:ascii="Tahoma" w:hAnsi="Tahoma" w:cs="Tahoma"/>
      <w:sz w:val="16"/>
      <w:szCs w:val="16"/>
    </w:rPr>
  </w:style>
  <w:style w:type="character" w:customStyle="1" w:styleId="BalloonTextChar">
    <w:name w:val="Balloon Text Char"/>
    <w:basedOn w:val="DefaultParagraphFont"/>
    <w:link w:val="BalloonText"/>
    <w:rsid w:val="00E00625"/>
    <w:rPr>
      <w:rFonts w:ascii="Tahoma" w:hAnsi="Tahoma" w:cs="Tahoma"/>
      <w:sz w:val="16"/>
      <w:szCs w:val="16"/>
    </w:rPr>
  </w:style>
  <w:style w:type="character" w:styleId="FollowedHyperlink">
    <w:name w:val="FollowedHyperlink"/>
    <w:basedOn w:val="DefaultParagraphFont"/>
    <w:rsid w:val="005B7005"/>
    <w:rPr>
      <w:color w:val="800080"/>
      <w:u w:val="single"/>
    </w:rPr>
  </w:style>
  <w:style w:type="character" w:customStyle="1" w:styleId="apple-converted-space">
    <w:name w:val="apple-converted-space"/>
    <w:basedOn w:val="DefaultParagraphFont"/>
    <w:rsid w:val="00031B72"/>
  </w:style>
  <w:style w:type="character" w:styleId="FootnoteReference">
    <w:name w:val="footnote reference"/>
    <w:basedOn w:val="DefaultParagraphFont"/>
    <w:rsid w:val="007B5BB9"/>
    <w:rPr>
      <w:vertAlign w:val="superscript"/>
    </w:rPr>
  </w:style>
</w:styles>
</file>

<file path=word/webSettings.xml><?xml version="1.0" encoding="utf-8"?>
<w:webSettings xmlns:r="http://schemas.openxmlformats.org/officeDocument/2006/relationships" xmlns:w="http://schemas.openxmlformats.org/wordprocessingml/2006/main">
  <w:divs>
    <w:div w:id="200122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lc.unsw.edu.au/news/2012/03/unsw-law-essay-competition-201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CD615-A4DE-4B89-BB5A-80DFF6841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7597</CharactersWithSpaces>
  <SharedDoc>false</SharedDoc>
  <HLinks>
    <vt:vector size="6" baseType="variant">
      <vt:variant>
        <vt:i4>7471211</vt:i4>
      </vt:variant>
      <vt:variant>
        <vt:i4>0</vt:i4>
      </vt:variant>
      <vt:variant>
        <vt:i4>0</vt:i4>
      </vt:variant>
      <vt:variant>
        <vt:i4>5</vt:i4>
      </vt:variant>
      <vt:variant>
        <vt:lpwstr>http://www2.ohchr.org/english/law/ccpr.htm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Gordon-Green</dc:creator>
  <cp:keywords/>
  <dc:description/>
  <cp:lastModifiedBy>Janette Murdoch</cp:lastModifiedBy>
  <cp:revision>2</cp:revision>
  <cp:lastPrinted>2012-10-31T01:28:00Z</cp:lastPrinted>
  <dcterms:created xsi:type="dcterms:W3CDTF">2012-11-02T03:36:00Z</dcterms:created>
  <dcterms:modified xsi:type="dcterms:W3CDTF">2012-11-02T03:36:00Z</dcterms:modified>
</cp:coreProperties>
</file>